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package/2006/relationships/metadata/thumbnail" Target="docProps/thumbnail.jpeg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before="0" w:after="40"/>
      </w:pPr>
      <w:r>
        <w:rPr>
          <w:rFonts w:ascii="Arial" w:hAnsi="Arial"/>
          <w:b/>
          <w:color w:val="1A365D"/>
          <w:sz w:val="36"/>
        </w:rPr>
        <w:t xml:space="preserve">CARTA DEI SERVIZI </w:t>
      </w:r>
    </w:p>
    <w:p>
      <w:pPr>
        <w:spacing w:after="360"/>
      </w:pPr>
      <w:r>
        <w:rPr>
          <w:rFonts w:ascii="Arial" w:hAnsi="Arial"/>
          <w:b/>
          <w:color w:val="2B6CB0"/>
          <w:sz w:val="28"/>
        </w:rPr>
        <w:t>Associazione Il Cerchio Azzurro ODV</w:t>
      </w:r>
    </w:p>
    <w:p>
      <w:pPr>
        <w:spacing w:after="280" w:line="312" w:lineRule="auto"/>
        <w:rPr>
          <w:sz w:val="20"/>
        </w:rPr>
      </w:pPr>
      <w:r>
        <w:rPr>
          <w:b/>
          <w:sz w:val="20"/>
        </w:rPr>
        <w:t xml:space="preserve">Sede Legale e Operativa: </w:t>
      </w:r>
      <w:r>
        <w:rPr>
          <w:b w:val="0"/>
          <w:sz w:val="20"/>
        </w:rPr>
        <w:t>Via Laudadeo Testi, 4 - 43122 Parma (PR)</w:t>
        <w:br/>
      </w:r>
      <w:r>
        <w:rPr>
          <w:b/>
          <w:sz w:val="20"/>
        </w:rPr>
        <w:t xml:space="preserve">Codice Fiscale: </w:t>
      </w:r>
      <w:r>
        <w:rPr>
          <w:b w:val="0"/>
          <w:sz w:val="20"/>
        </w:rPr>
        <w:t>92117280344</w:t>
        <w:br/>
      </w:r>
      <w:r>
        <w:rPr>
          <w:b/>
          <w:sz w:val="20"/>
        </w:rPr>
        <w:t xml:space="preserve">Numero Repertorio RUNTS: </w:t>
      </w:r>
      <w:r>
        <w:rPr>
          <w:b w:val="0"/>
          <w:sz w:val="20"/>
        </w:rPr>
        <w:t>83282 (Sezione ODV)</w:t>
        <w:br/>
      </w:r>
      <w:r>
        <w:rPr>
          <w:b/>
          <w:sz w:val="20"/>
        </w:rPr>
        <w:t xml:space="preserve">Contatti: </w:t>
      </w:r>
      <w:r>
        <w:rPr>
          <w:b w:val="0"/>
          <w:sz w:val="20"/>
        </w:rPr>
        <w:t xml:space="preserve">ilcerchioazzurro@virgilio.it | Tel. +39 345 799 2626 </w:t>
      </w:r>
      <w:r>
        <w:rPr>
          <w:b/>
          <w:bCs/>
          <w:sz w:val="20"/>
        </w:rPr>
        <w:t xml:space="preserve">Sito Web : </w:t>
      </w:r>
      <w:r>
        <w:rPr>
          <w:sz w:val="20"/>
        </w:rPr>
        <w:t>Ilcerchioazzurroodv.com</w:t>
      </w:r>
    </w:p>
    <w:p>
      <w:pPr>
        <w:spacing w:after="280" w:line="312" w:lineRule="auto"/>
        <w:rPr>
          <w:b w:val="0"/>
          <w:sz w:val="20"/>
        </w:rPr>
      </w:pPr>
    </w:p>
    <w:p>
      <w:pPr>
        <w:spacing w:after="280" w:line="312" w:lineRule="auto"/>
      </w:pPr>
    </w:p>
    <w:p>
      <w:pPr>
        <w:spacing w:before="120" w:after="360"/>
        <w:ind w:left="360"/>
      </w:pPr>
      <w:r>
        <w:rPr>
          <w:i/>
          <w:color w:val="4A5568"/>
        </w:rPr>
        <w:t>"Fatti di vita! Non farti di droga!" – Dal 1998, l'Associazione Il Cerchio Azzurro ODV si impegna attivamente nel territorio di Parma attraverso il volontariato  per offrire accoglienza, orientamento e percorsi stabili di auto-mutuo aiuto a ragazzi, giovani e famiglie che affrontano il dramma delle dipendenze patologiche e del disagio sociale relazionale.</w:t>
      </w:r>
    </w:p>
    <w:p>
      <w:pPr>
        <w:spacing w:before="280" w:after="120"/>
      </w:pPr>
      <w:r>
        <w:rPr>
          <w:b/>
          <w:color w:val="2B6CB0"/>
          <w:sz w:val="28"/>
        </w:rPr>
        <w:t>1. Finalità Istituzionali e Mission</w:t>
      </w:r>
    </w:p>
    <w:p>
      <w:pPr>
        <w:spacing w:after="280"/>
        <w:jc w:val="both"/>
      </w:pPr>
      <w:r>
        <w:t>L'Associazione persegue finalità civiche, solidaristiche e di utilità sociale attraverso la tutela della salute e l'attivazione di percorsi di reinserimento e supporto per soggetti fragili. L'action cardine è orientata all'ascolto protetto ed alla rottura dell'isolamento sociale delle persone affette da dipendenze e delle rispettive reti familiari, offrendo strumenti concreti per riappropriarsi della propria autonomia e dignità personale.</w:t>
      </w:r>
    </w:p>
    <w:p>
      <w:pPr>
        <w:spacing w:before="280" w:after="120"/>
      </w:pPr>
      <w:r>
        <w:rPr>
          <w:b/>
          <w:color w:val="2B6CB0"/>
          <w:sz w:val="28"/>
        </w:rPr>
        <w:t>2. Elenco dei Servizi ed Attività Core</w:t>
      </w:r>
    </w:p>
    <w:p>
      <w:pPr>
        <w:spacing w:before="160" w:after="40"/>
      </w:pPr>
      <w:r>
        <w:rPr>
          <w:b/>
          <w:sz w:val="24"/>
        </w:rPr>
        <w:t>A. Gruppi di Auto-Mutuo Aiuto (AMA)</w:t>
      </w:r>
    </w:p>
    <w:p>
      <w:pPr>
        <w:spacing w:after="200"/>
        <w:ind w:left="216"/>
        <w:jc w:val="both"/>
      </w:pPr>
      <w:r>
        <w:t>Incontri periodici di mutuo aiuto strutturati per favorire la condivisione di esperienze, il superamento dello stigma e la creazione di una rete emotiva resiliente. Gli incontri si svolgono con cadenza alternata ogni 15 giorni il mercoledì dalle ore 21:00,dalle ore 23 dedicando specifiche sessioni ai ragazzi/e e sessioni separate o integrate rivolte ai genitori e familiari.</w:t>
      </w:r>
    </w:p>
    <w:p>
      <w:pPr>
        <w:spacing w:before="160" w:after="40"/>
      </w:pPr>
      <w:r>
        <w:rPr>
          <w:b/>
          <w:sz w:val="24"/>
        </w:rPr>
        <w:t>B. Sportello d'Ascolto ed Accoglienza Territoriale</w:t>
      </w:r>
    </w:p>
    <w:p>
      <w:pPr>
        <w:spacing w:after="200"/>
        <w:ind w:left="216"/>
        <w:jc w:val="both"/>
      </w:pPr>
      <w:r>
        <w:t xml:space="preserve">Un punto di primo contatto e ascolto telefonico o in presenza finalizzato alla decodifica del bisogno, alla riduzione del danno emotivo iniziale e all'indirizzamento tempestivo verso i percorsi terapeutici o le strutture socio-sanitarie competenti del territorio (es. SerDP, Unità di Strada) e le </w:t>
      </w:r>
      <w:r>
        <w:rPr>
          <w:rFonts w:hint="eastAsia"/>
        </w:rPr>
        <w:t>comunità con le quali collabora.</w:t>
      </w:r>
    </w:p>
    <w:p>
      <w:pPr>
        <w:spacing w:before="160" w:after="40"/>
      </w:pPr>
      <w:r>
        <w:rPr>
          <w:b/>
          <w:sz w:val="24"/>
        </w:rPr>
        <w:t>C. Progetti di Sensibilizzazione e Prevenzione nelle</w:t>
      </w:r>
      <w:bookmarkStart w:id="0" w:name="_GoBack"/>
      <w:bookmarkEnd w:id="0"/>
      <w:r>
        <w:rPr>
          <w:b/>
          <w:sz w:val="24"/>
        </w:rPr>
        <w:t xml:space="preserve"> Comunità</w:t>
      </w:r>
    </w:p>
    <w:p>
      <w:pPr>
        <w:spacing w:after="200"/>
        <w:ind w:left="216"/>
        <w:jc w:val="both"/>
      </w:pPr>
      <w:r>
        <w:t>Incontri di informazione, testimonianza attiva e dibattito sul tema dell'abuso di sostanze stupefacenti e psicotrope (quali crack, cocaina, eroina e sostanze sintetiche). L'obiettivo è promuovere stili di vita sani fra i più giovani e intercettare precocemente contesti di fragilità e isolamento.</w:t>
      </w:r>
    </w:p>
    <w:p>
      <w:pPr>
        <w:spacing w:before="160" w:after="40"/>
      </w:pPr>
      <w:r>
        <w:rPr>
          <w:b/>
          <w:sz w:val="24"/>
        </w:rPr>
        <w:t>D. Orientamento e Sostegno alla Rete Familiare (Inclusione e Caregiver)</w:t>
      </w:r>
    </w:p>
    <w:p>
      <w:pPr>
        <w:spacing w:after="200"/>
        <w:ind w:left="216"/>
        <w:jc w:val="both"/>
      </w:pPr>
      <w:r>
        <w:t>Attività di consulenza per i nuclei familiari travolti dalla dipendenza patologica di un proprio caro, agevolando l'accesso ai servizi sociali ed ai percorsi di reinserimento formativo-lavorativo, lavorando in stretta sinergia con gli enti del Terzo Settore di Parma e Provincia.</w:t>
      </w:r>
    </w:p>
    <w:p>
      <w:pPr>
        <w:spacing w:before="280" w:after="120"/>
      </w:pPr>
      <w:r>
        <w:rPr>
          <w:b/>
          <w:color w:val="2B6CB0"/>
          <w:sz w:val="28"/>
        </w:rPr>
        <w:t>3. Modalità Operative ed Accesso ai Servizi</w:t>
      </w:r>
    </w:p>
    <w:p>
      <w:pPr>
        <w:spacing w:after="200"/>
      </w:pPr>
      <w:r>
        <w:t>Tutti gli interventi promossi dall'Organizzazione seguono stringenti criteri di inclusività, rispetto della privacy e capillarità territoriale. La tabella sottostante riassume i dettagli operativi per gli utenti finali:</w:t>
      </w:r>
    </w:p>
    <w:tbl>
      <w:tblPr>
        <w:jc w:val="left"/>
        <w:tblInd w:w="0" w:type="dxa"/>
        <w:tblBorders>
          <w:top w:val="single" w:sz="8" w:space="0" w:color="4F81BD"/>
          <w:left w:val="none" w:sz="0" w:space="0" w:color="auto"/>
          <w:bottom w:val="single" w:sz="8" w:space="0" w:color="4F81BD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0"/>
        <w:gridCol w:w="4680"/>
      </w:tblGrid>
      <w:tr>
        <w:tc>
          <w:tcPr>
            <w:tcW w:w="4680" w:type="dxa"/>
            <w:shd w:val="clear" w:color="auto" w:fill="2B6CB0"/>
            <w:tcMar>
              <w:top w:w="140" w:type="dxa"/>
              <w:left w:w="180" w:type="dxa"/>
              <w:bottom w:w="140" w:type="dxa"/>
              <w:right w:w="180" w:type="dxa"/>
            </w:tcMar>
          </w:tcPr>
          <w:p>
            <w:r>
              <w:rPr>
                <w:b/>
                <w:color w:val="FFFFFF"/>
              </w:rPr>
              <w:t>Indicatore del Servizio</w:t>
            </w:r>
          </w:p>
        </w:tc>
        <w:tc>
          <w:tcPr>
            <w:tcW w:w="4680" w:type="dxa"/>
            <w:shd w:val="clear" w:color="auto" w:fill="2B6CB0"/>
            <w:tcMar>
              <w:top w:w="140" w:type="dxa"/>
              <w:left w:w="180" w:type="dxa"/>
              <w:bottom w:w="140" w:type="dxa"/>
              <w:right w:w="180" w:type="dxa"/>
            </w:tcMar>
          </w:tcPr>
          <w:p>
            <w:r>
              <w:rPr>
                <w:b/>
                <w:color w:val="FFFFFF"/>
              </w:rPr>
              <w:t>Dettagli e Specifiche di Erogazione</w:t>
            </w:r>
          </w:p>
        </w:tc>
      </w:tr>
      <w:tr>
        <w:tc>
          <w:tcPr>
            <w:tcW w:w="4680" w:type="dxa"/>
            <w:tcMar>
              <w:top w:w="100" w:type="dxa"/>
              <w:left w:w="150" w:type="dxa"/>
              <w:bottom w:w="100" w:type="dxa"/>
              <w:right w:w="150" w:type="dxa"/>
            </w:tcMar>
          </w:tcPr>
          <w:p>
            <w:r>
              <w:rPr>
                <w:b/>
              </w:rPr>
              <w:t>Target Beneficiari</w:t>
            </w:r>
          </w:p>
        </w:tc>
        <w:tc>
          <w:tcPr>
            <w:tcW w:w="4680" w:type="dxa"/>
            <w:tcMar>
              <w:top w:w="100" w:type="dxa"/>
              <w:left w:w="150" w:type="dxa"/>
              <w:bottom w:w="100" w:type="dxa"/>
              <w:right w:w="150" w:type="dxa"/>
            </w:tcMar>
          </w:tcPr>
          <w:p>
            <w:r>
              <w:t>Giovani, adulti con problematiche di dipendenza e disagio relazionale, famiglie, genitori e caregiver residenti a Parma e provincia.</w:t>
            </w:r>
          </w:p>
        </w:tc>
      </w:tr>
      <w:tr>
        <w:tc>
          <w:tcPr>
            <w:tcW w:w="4680" w:type="dxa"/>
            <w:shd w:val="clear" w:color="auto" w:fill="F7FAFC"/>
            <w:tcMar>
              <w:top w:w="100" w:type="dxa"/>
              <w:left w:w="150" w:type="dxa"/>
              <w:bottom w:w="100" w:type="dxa"/>
              <w:right w:w="150" w:type="dxa"/>
            </w:tcMar>
          </w:tcPr>
          <w:p>
            <w:r>
              <w:rPr>
                <w:b/>
              </w:rPr>
              <w:t>Costo delle Prestazioni</w:t>
            </w:r>
          </w:p>
        </w:tc>
        <w:tc>
          <w:tcPr>
            <w:tcW w:w="4680" w:type="dxa"/>
            <w:shd w:val="clear" w:color="auto" w:fill="F7FAFC"/>
            <w:tcMar>
              <w:top w:w="100" w:type="dxa"/>
              <w:left w:w="150" w:type="dxa"/>
              <w:bottom w:w="100" w:type="dxa"/>
              <w:right w:w="150" w:type="dxa"/>
            </w:tcMar>
          </w:tcPr>
          <w:p>
            <w:r>
              <w:t>Tutti i servizi e la partecipazione ai gruppi AMA sono erogati a titolo totalmente gratuito, in conformità al regime delle Organizzazioni di Volontariato (ODV).</w:t>
            </w:r>
          </w:p>
        </w:tc>
      </w:tr>
      <w:tr>
        <w:tc>
          <w:tcPr>
            <w:tcW w:w="4680" w:type="dxa"/>
            <w:tcMar>
              <w:top w:w="100" w:type="dxa"/>
              <w:left w:w="150" w:type="dxa"/>
              <w:bottom w:w="100" w:type="dxa"/>
              <w:right w:w="150" w:type="dxa"/>
            </w:tcMar>
          </w:tcPr>
          <w:p>
            <w:r>
              <w:rPr>
                <w:b/>
              </w:rPr>
              <w:t>Modalità di Attivazione</w:t>
            </w:r>
          </w:p>
        </w:tc>
        <w:tc>
          <w:tcPr>
            <w:tcW w:w="4680" w:type="dxa"/>
            <w:tcMar>
              <w:top w:w="100" w:type="dxa"/>
              <w:left w:w="150" w:type="dxa"/>
              <w:bottom w:w="100" w:type="dxa"/>
              <w:right w:w="150" w:type="dxa"/>
            </w:tcMar>
          </w:tcPr>
          <w:p>
            <w:r>
              <w:t>Accesso spontaneo tramite contatto telefonico (+39 345 799 2626) o via email (ilcerchioazzurro@virgilio.it), oppure su segnalazione formale da parte dei Servizi Sociali territoriali o del SerDP.</w:t>
            </w:r>
          </w:p>
        </w:tc>
      </w:tr>
      <w:tr>
        <w:tc>
          <w:tcPr>
            <w:tcW w:w="4680" w:type="dxa"/>
            <w:shd w:val="clear" w:color="auto" w:fill="F7FAFC"/>
            <w:tcMar>
              <w:top w:w="100" w:type="dxa"/>
              <w:left w:w="150" w:type="dxa"/>
              <w:bottom w:w="100" w:type="dxa"/>
              <w:right w:w="150" w:type="dxa"/>
            </w:tcMar>
          </w:tcPr>
          <w:p>
            <w:r>
              <w:rPr>
                <w:b/>
              </w:rPr>
              <w:t>Sinergie di Rete</w:t>
            </w:r>
          </w:p>
        </w:tc>
        <w:tc>
          <w:tcPr>
            <w:tcW w:w="4680" w:type="dxa"/>
            <w:shd w:val="clear" w:color="auto" w:fill="F7FAFC"/>
            <w:tcMar>
              <w:top w:w="100" w:type="dxa"/>
              <w:left w:w="150" w:type="dxa"/>
              <w:bottom w:w="100" w:type="dxa"/>
              <w:right w:w="150" w:type="dxa"/>
            </w:tcMar>
          </w:tcPr>
          <w:p>
            <w:r>
              <w:t>L'associazione opera in rete attiva con il Forum Terzo Settore Parma, la rete ANMIC, le comunità terapeutiche locali ed i servizi di prossimità stradale.</w:t>
            </w:r>
          </w:p>
        </w:tc>
      </w:tr>
    </w:tbl>
    <w:p>
      <w:pPr>
        <w:spacing w:before="600"/>
        <w:jc w:val="center"/>
      </w:pPr>
      <w:r>
        <w:rPr>
          <w:color w:val="718096"/>
          <w:sz w:val="18"/>
        </w:rPr>
        <w:t>Documento Informativo - Associazione Il Cerchio Azzurro ODV</w:t>
        <w:br/>
        <w:t>Iscritta al Registro Unico Nazionale del Terzo Settore (RUNTS) - Sostieni le attività con il 5x1000 (C.F. 92117280344)</w:t>
      </w:r>
    </w:p>
    <w:sectPr>
      <w:pgSz w:w="12240" w:h="15840"/>
      <w:pgMar w:top="1440" w:right="1440" w:bottom="1440" w:left="1440" w:header="720" w:footer="72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ＭＳ 明朝">
    <w:altName w:val="Droid Sans"/>
    <w:panose1 w:val="00000000000000000000"/>
    <w:charset w:val="80"/>
    <w:family w:val="roman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altName w:val="Droid Sans"/>
    <w:panose1 w:val="00000000000000000000"/>
    <w:charset w:val="80"/>
    <w:family w:val="modern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">
    <w:altName w:val="Courier New"/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multiLevelType w:val="singleLevel"/>
    <w:tmpl w:val="29761A62"/>
    <w:lvl w:ilvl="0">
      <w:start w:val="1"/>
      <w:numFmt w:val="bullet"/>
      <w:lvlRestart w:val="0"/>
      <w:pStyle w:val="27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multiLevelType w:val="singleLevel"/>
    <w:tmpl w:val="3D1EFFD4"/>
    <w:lvl w:ilvl="0">
      <w:start w:val="1"/>
      <w:numFmt w:val="bullet"/>
      <w:lvlRestart w:val="0"/>
      <w:pStyle w:val="28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multiLevelType w:val="singleLevel"/>
    <w:tmpl w:val="F3EAFDEC"/>
    <w:lvl w:ilvl="0">
      <w:start w:val="1"/>
      <w:numFmt w:val="bullet"/>
      <w:lvlRestart w:val="0"/>
      <w:pStyle w:val="29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>
    <w:multiLevelType w:val="singleLevel"/>
    <w:tmpl w:val="D0A62B40"/>
    <w:lvl w:ilvl="0">
      <w:start w:val="1"/>
      <w:numFmt w:val="decimal"/>
      <w:lvlRestart w:val="0"/>
      <w:pStyle w:val="30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multiLevelType w:val="singleLevel"/>
    <w:tmpl w:val="38441652"/>
    <w:lvl w:ilvl="0">
      <w:start w:val="1"/>
      <w:numFmt w:val="decimal"/>
      <w:lvlRestart w:val="0"/>
      <w:pStyle w:val="31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multiLevelType w:val="singleLevel"/>
    <w:tmpl w:val="FB12693A"/>
    <w:lvl w:ilvl="0">
      <w:start w:val="1"/>
      <w:numFmt w:val="decimal"/>
      <w:lvlRestart w:val="0"/>
      <w:pStyle w:val="32"/>
      <w:lvlText w:val="%1."/>
      <w:lvlJc w:val="left"/>
      <w:pPr>
        <w:tabs>
          <w:tab w:val="num" w:pos="1080"/>
        </w:tabs>
        <w:ind w:left="10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319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savePreviewPicture/>
  <w:compat>
    <w:spaceForUL/>
    <w:growAutofit/>
    <w:compatSetting w:name="compatibilityMode" w:uri="http://schemas.microsoft.com/office/word" w:val="14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after="200" w:line="276" w:lineRule="auto"/>
    </w:pPr>
    <w:rPr>
      <w:rFonts w:ascii="Arial" w:eastAsia="ＭＳ 明朝" w:cs="Arial" w:hAnsi="Arial"/>
      <w:color w:val="2D3748"/>
      <w:sz w:val="22"/>
      <w:szCs w:val="22"/>
      <w:lang w:val="en-US" w:eastAsia="en-US" w:bidi="ar-SA"/>
    </w:rPr>
  </w:style>
  <w:style w:type="paragraph" w:styleId="1">
    <w:name w:val="heading 1"/>
    <w:basedOn w:val="0"/>
    <w:next w:val="0"/>
    <w:pPr>
      <w:keepNext/>
      <w:keepLines/>
      <w:spacing w:before="480" w:after="0"/>
      <w:outlineLvl w:val="0"/>
    </w:pPr>
    <w:rPr>
      <w:rFonts w:ascii="Calibri" w:eastAsia="ＭＳ ゴシック" w:cs="Times New Roman" w:hAnsi="Calibri"/>
      <w:b/>
      <w:bCs/>
      <w:color w:val="365F91"/>
      <w:sz w:val="28"/>
      <w:szCs w:val="28"/>
    </w:rPr>
  </w:style>
  <w:style w:type="paragraph" w:styleId="2">
    <w:name w:val="heading 2"/>
    <w:basedOn w:val="0"/>
    <w:next w:val="0"/>
    <w:pPr>
      <w:keepNext/>
      <w:keepLines/>
      <w:spacing w:before="200" w:after="0"/>
      <w:outlineLvl w:val="1"/>
    </w:pPr>
    <w:rPr>
      <w:rFonts w:ascii="Calibri" w:eastAsia="ＭＳ ゴシック" w:cs="Times New Roman" w:hAnsi="Calibri"/>
      <w:b/>
      <w:bCs/>
      <w:color w:val="4F81BD"/>
      <w:sz w:val="26"/>
      <w:szCs w:val="26"/>
    </w:rPr>
  </w:style>
  <w:style w:type="paragraph" w:styleId="3">
    <w:name w:val="heading 3"/>
    <w:basedOn w:val="0"/>
    <w:next w:val="0"/>
    <w:pPr>
      <w:keepNext/>
      <w:keepLines/>
      <w:spacing w:before="200" w:after="0"/>
      <w:outlineLvl w:val="2"/>
    </w:pPr>
    <w:rPr>
      <w:rFonts w:ascii="Calibri" w:eastAsia="ＭＳ ゴシック" w:cs="Times New Roman" w:hAnsi="Calibri"/>
      <w:b/>
      <w:bCs/>
      <w:color w:val="4F81BD"/>
    </w:rPr>
  </w:style>
  <w:style w:type="paragraph" w:styleId="4">
    <w:name w:val="heading 4"/>
    <w:basedOn w:val="0"/>
    <w:next w:val="0"/>
    <w:pPr>
      <w:keepNext/>
      <w:keepLines/>
      <w:spacing w:before="200" w:after="0"/>
      <w:outlineLvl w:val="3"/>
    </w:pPr>
    <w:rPr>
      <w:rFonts w:ascii="Calibri" w:eastAsia="ＭＳ ゴシック" w:cs="Times New Roman" w:hAnsi="Calibri"/>
      <w:b/>
      <w:bCs/>
      <w:i/>
      <w:iCs/>
      <w:color w:val="4F81BD"/>
    </w:rPr>
  </w:style>
  <w:style w:type="paragraph" w:styleId="5">
    <w:name w:val="heading 5"/>
    <w:basedOn w:val="0"/>
    <w:next w:val="0"/>
    <w:pPr>
      <w:keepNext/>
      <w:keepLines/>
      <w:spacing w:before="200" w:after="0"/>
      <w:outlineLvl w:val="4"/>
    </w:pPr>
    <w:rPr>
      <w:rFonts w:ascii="Calibri" w:eastAsia="ＭＳ ゴシック" w:cs="Times New Roman" w:hAnsi="Calibri"/>
      <w:color w:val="243F60"/>
    </w:rPr>
  </w:style>
  <w:style w:type="paragraph" w:styleId="6">
    <w:name w:val="heading 6"/>
    <w:basedOn w:val="0"/>
    <w:next w:val="0"/>
    <w:pPr>
      <w:keepNext/>
      <w:keepLines/>
      <w:spacing w:before="200" w:after="0"/>
      <w:outlineLvl w:val="5"/>
    </w:pPr>
    <w:rPr>
      <w:rFonts w:ascii="Calibri" w:eastAsia="ＭＳ ゴシック" w:cs="Times New Roman" w:hAnsi="Calibri"/>
      <w:i/>
      <w:iCs/>
      <w:color w:val="243F60"/>
    </w:rPr>
  </w:style>
  <w:style w:type="paragraph" w:styleId="7">
    <w:name w:val="heading 7"/>
    <w:basedOn w:val="0"/>
    <w:next w:val="0"/>
    <w:pPr>
      <w:keepNext/>
      <w:keepLines/>
      <w:spacing w:before="200" w:after="0"/>
      <w:outlineLvl w:val="6"/>
    </w:pPr>
    <w:rPr>
      <w:rFonts w:ascii="Calibri" w:eastAsia="ＭＳ ゴシック" w:cs="Times New Roman" w:hAnsi="Calibri"/>
      <w:i/>
      <w:iCs/>
      <w:color w:val="404040"/>
    </w:rPr>
  </w:style>
  <w:style w:type="paragraph" w:styleId="8">
    <w:name w:val="heading 8"/>
    <w:basedOn w:val="0"/>
    <w:next w:val="0"/>
    <w:pPr>
      <w:keepNext/>
      <w:keepLines/>
      <w:spacing w:before="200" w:after="0"/>
      <w:outlineLvl w:val="7"/>
    </w:pPr>
    <w:rPr>
      <w:rFonts w:ascii="Calibri" w:eastAsia="ＭＳ ゴシック" w:cs="Times New Roman" w:hAnsi="Calibri"/>
      <w:color w:val="4F81BD"/>
      <w:sz w:val="20"/>
      <w:szCs w:val="20"/>
    </w:rPr>
  </w:style>
  <w:style w:type="paragraph" w:styleId="9">
    <w:name w:val="heading 9"/>
    <w:basedOn w:val="0"/>
    <w:next w:val="0"/>
    <w:pPr>
      <w:keepNext/>
      <w:keepLines/>
      <w:spacing w:before="200" w:after="0"/>
      <w:outlineLvl w:val="8"/>
    </w:pPr>
    <w:rPr>
      <w:rFonts w:ascii="Calibri" w:eastAsia="ＭＳ ゴシック" w:cs="Times New Roman" w:hAnsi="Calibri"/>
      <w:i/>
      <w:iCs/>
      <w:color w:val="404040"/>
      <w:sz w:val="20"/>
      <w:szCs w:val="20"/>
    </w:rPr>
  </w:style>
  <w:style w:type="character" w:default="1" w:styleId="10">
    <w:name w:val="Default Paragraph Font"/>
  </w:style>
  <w:style w:type="paragraph" w:styleId="15">
    <w:name w:val="header"/>
    <w:basedOn w:val="0"/>
    <w:pPr>
      <w:tabs>
        <w:tab w:val="center" w:pos="4680"/>
        <w:tab w:val="right" w:pos="9360"/>
      </w:tabs>
      <w:spacing w:after="0" w:line="240" w:lineRule="auto"/>
    </w:pPr>
  </w:style>
  <w:style w:type="paragraph" w:styleId="16">
    <w:name w:val="footer"/>
    <w:basedOn w:val="0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17">
    <w:name w:val="No Spacing"/>
    <w:pPr>
      <w:spacing w:after="0" w:line="240" w:lineRule="auto"/>
    </w:pPr>
    <w:rPr>
      <w:rFonts w:ascii="Cambria" w:eastAsia="ＭＳ 明朝" w:cs="Arial" w:hAnsi="Cambria"/>
      <w:sz w:val="22"/>
      <w:szCs w:val="22"/>
      <w:lang w:val="en-US" w:eastAsia="en-US" w:bidi="ar-SA"/>
    </w:rPr>
  </w:style>
  <w:style w:type="paragraph" w:styleId="18">
    <w:name w:val="Title"/>
    <w:basedOn w:val="0"/>
    <w:next w:val="0"/>
    <w:pPr>
      <w:pBdr>
        <w:bottom w:val="single" w:sz="8" w:space="4" w:color="4F81BD"/>
      </w:pBdr>
      <w:spacing w:after="300" w:line="240" w:lineRule="auto"/>
      <w:contextualSpacing/>
    </w:pPr>
    <w:rPr>
      <w:rFonts w:ascii="Calibri" w:eastAsia="ＭＳ ゴシック" w:cs="Times New Roman" w:hAnsi="Calibri"/>
      <w:color w:val="17365D"/>
      <w:spacing w:val="5"/>
      <w:kern w:val="28"/>
      <w:sz w:val="52"/>
      <w:szCs w:val="52"/>
    </w:rPr>
  </w:style>
  <w:style w:type="paragraph" w:styleId="19">
    <w:name w:val="Subtitle"/>
    <w:basedOn w:val="0"/>
    <w:next w:val="0"/>
    <w:rPr>
      <w:rFonts w:ascii="Calibri" w:eastAsia="ＭＳ ゴシック" w:cs="Times New Roman" w:hAnsi="Calibri"/>
      <w:i/>
      <w:iCs/>
      <w:color w:val="4F81BD"/>
      <w:spacing w:val="15"/>
      <w:sz w:val="24"/>
      <w:szCs w:val="24"/>
    </w:rPr>
  </w:style>
  <w:style w:type="paragraph" w:customStyle="1" w:styleId="20">
    <w:name w:val="List Paragraph"/>
    <w:basedOn w:val="0"/>
    <w:pPr>
      <w:ind w:left="720"/>
      <w:contextualSpacing/>
    </w:pPr>
  </w:style>
  <w:style w:type="paragraph" w:styleId="21">
    <w:name w:val="Body Text"/>
    <w:basedOn w:val="0"/>
    <w:pPr>
      <w:spacing w:after="120"/>
    </w:pPr>
  </w:style>
  <w:style w:type="paragraph" w:styleId="22">
    <w:name w:val="Body Text 2"/>
    <w:basedOn w:val="0"/>
    <w:pPr>
      <w:spacing w:after="120" w:line="480" w:lineRule="auto"/>
    </w:pPr>
  </w:style>
  <w:style w:type="paragraph" w:styleId="23">
    <w:name w:val="Body Text 3"/>
    <w:basedOn w:val="0"/>
    <w:pPr>
      <w:spacing w:after="120"/>
    </w:pPr>
    <w:rPr>
      <w:sz w:val="16"/>
      <w:szCs w:val="16"/>
    </w:rPr>
  </w:style>
  <w:style w:type="paragraph" w:styleId="24">
    <w:name w:val="List"/>
    <w:basedOn w:val="0"/>
    <w:pPr>
      <w:ind w:left="360" w:hanging="360"/>
      <w:contextualSpacing/>
    </w:pPr>
  </w:style>
  <w:style w:type="paragraph" w:styleId="25">
    <w:name w:val="List 2"/>
    <w:basedOn w:val="0"/>
    <w:pPr>
      <w:ind w:left="720" w:hanging="360"/>
      <w:contextualSpacing/>
    </w:pPr>
  </w:style>
  <w:style w:type="paragraph" w:styleId="26">
    <w:name w:val="List 3"/>
    <w:basedOn w:val="0"/>
    <w:pPr>
      <w:ind w:left="1080" w:hanging="360"/>
      <w:contextualSpacing/>
    </w:pPr>
  </w:style>
  <w:style w:type="paragraph" w:styleId="27">
    <w:name w:val="List Bullet"/>
    <w:basedOn w:val="0"/>
    <w:pPr>
      <w:numPr>
        <w:ilvl w:val="0"/>
        <w:numId w:val="1"/>
      </w:numPr>
      <w:contextualSpacing/>
    </w:pPr>
  </w:style>
  <w:style w:type="paragraph" w:styleId="28">
    <w:name w:val="List Bullet 2"/>
    <w:basedOn w:val="0"/>
    <w:pPr>
      <w:numPr>
        <w:ilvl w:val="0"/>
        <w:numId w:val="2"/>
      </w:numPr>
      <w:contextualSpacing/>
    </w:pPr>
  </w:style>
  <w:style w:type="paragraph" w:styleId="29">
    <w:name w:val="List Bullet 3"/>
    <w:basedOn w:val="0"/>
    <w:pPr>
      <w:numPr>
        <w:ilvl w:val="0"/>
        <w:numId w:val="3"/>
      </w:numPr>
      <w:contextualSpacing/>
    </w:pPr>
  </w:style>
  <w:style w:type="paragraph" w:styleId="30">
    <w:name w:val="List Number"/>
    <w:basedOn w:val="0"/>
    <w:pPr>
      <w:numPr>
        <w:ilvl w:val="0"/>
        <w:numId w:val="4"/>
      </w:numPr>
      <w:contextualSpacing/>
    </w:pPr>
  </w:style>
  <w:style w:type="paragraph" w:styleId="31">
    <w:name w:val="List Number 2"/>
    <w:basedOn w:val="0"/>
    <w:pPr>
      <w:numPr>
        <w:ilvl w:val="0"/>
        <w:numId w:val="5"/>
      </w:numPr>
      <w:contextualSpacing/>
    </w:pPr>
  </w:style>
  <w:style w:type="paragraph" w:styleId="32">
    <w:name w:val="List Number 3"/>
    <w:basedOn w:val="0"/>
    <w:pPr>
      <w:numPr>
        <w:ilvl w:val="0"/>
        <w:numId w:val="6"/>
      </w:numPr>
      <w:contextualSpacing/>
    </w:pPr>
  </w:style>
  <w:style w:type="paragraph" w:styleId="33">
    <w:name w:val="List Continue"/>
    <w:basedOn w:val="0"/>
    <w:pPr>
      <w:spacing w:after="120"/>
      <w:ind w:left="360"/>
      <w:contextualSpacing/>
    </w:pPr>
  </w:style>
  <w:style w:type="paragraph" w:styleId="34">
    <w:name w:val="List Continue 2"/>
    <w:basedOn w:val="0"/>
    <w:pPr>
      <w:spacing w:after="120"/>
      <w:ind w:left="720"/>
      <w:contextualSpacing/>
    </w:pPr>
  </w:style>
  <w:style w:type="paragraph" w:styleId="35">
    <w:name w:val="List Continue 3"/>
    <w:basedOn w:val="0"/>
    <w:pPr>
      <w:spacing w:after="120"/>
      <w:ind w:left="1080"/>
      <w:contextualSpacing/>
    </w:pPr>
  </w:style>
  <w:style w:type="paragraph" w:styleId="36">
    <w:name w:val="macro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="ＭＳ 明朝" w:cs="Arial" w:hAnsi="Courier"/>
      <w:sz w:val="20"/>
      <w:szCs w:val="20"/>
      <w:lang w:val="en-US" w:eastAsia="en-US" w:bidi="ar-SA"/>
    </w:rPr>
  </w:style>
  <w:style w:type="paragraph" w:customStyle="1" w:styleId="37">
    <w:name w:val="Quote"/>
    <w:basedOn w:val="0"/>
    <w:next w:val="0"/>
    <w:rPr>
      <w:i/>
      <w:iCs/>
      <w:color w:val="000000"/>
    </w:rPr>
  </w:style>
  <w:style w:type="paragraph" w:styleId="38">
    <w:name w:val="caption"/>
    <w:basedOn w:val="0"/>
    <w:next w:val="0"/>
    <w:pPr>
      <w:spacing w:line="240" w:lineRule="auto"/>
    </w:pPr>
    <w:rPr>
      <w:b/>
      <w:bCs/>
      <w:color w:val="4F81BD"/>
      <w:sz w:val="18"/>
      <w:szCs w:val="18"/>
    </w:rPr>
  </w:style>
  <w:style w:type="character" w:styleId="39">
    <w:name w:val="Strong"/>
    <w:basedOn w:val="10"/>
    <w:rPr>
      <w:b/>
      <w:bCs/>
    </w:rPr>
  </w:style>
  <w:style w:type="character" w:styleId="40">
    <w:name w:val="Emphasis"/>
    <w:basedOn w:val="10"/>
    <w:rPr>
      <w:i/>
      <w:iCs/>
    </w:rPr>
  </w:style>
  <w:style w:type="paragraph" w:customStyle="1" w:styleId="41">
    <w:name w:val="Intense Quote"/>
    <w:basedOn w:val="0"/>
    <w:next w:val="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42">
    <w:name w:val="Subtle Emphasis"/>
    <w:basedOn w:val="10"/>
    <w:rPr>
      <w:i/>
      <w:iCs/>
      <w:color w:val="808080"/>
    </w:rPr>
  </w:style>
  <w:style w:type="character" w:customStyle="1" w:styleId="43">
    <w:name w:val="Intense Emphasis"/>
    <w:basedOn w:val="10"/>
    <w:rPr>
      <w:b/>
      <w:bCs/>
      <w:i/>
      <w:iCs/>
      <w:color w:val="4F81BD"/>
    </w:rPr>
  </w:style>
  <w:style w:type="character" w:customStyle="1" w:styleId="44">
    <w:name w:val="Subtle Reference"/>
    <w:basedOn w:val="10"/>
    <w:rPr>
      <w:caps w:val="0"/>
      <w:smallCaps/>
      <w:color w:val="C0504D"/>
      <w:u w:val="single"/>
    </w:rPr>
  </w:style>
  <w:style w:type="character" w:customStyle="1" w:styleId="45">
    <w:name w:val="Intense Reference"/>
    <w:basedOn w:val="10"/>
    <w:rPr>
      <w:b/>
      <w:bCs/>
      <w:caps w:val="0"/>
      <w:smallCaps/>
      <w:color w:val="C0504D"/>
      <w:spacing w:val="5"/>
      <w:u w:val="single"/>
    </w:rPr>
  </w:style>
  <w:style w:type="character" w:customStyle="1" w:styleId="46">
    <w:name w:val="Book Title"/>
    <w:basedOn w:val="10"/>
    <w:rPr>
      <w:b/>
      <w:bCs/>
      <w:caps w:val="0"/>
      <w:smallCaps/>
      <w:spacing w:val="5"/>
    </w:rPr>
  </w:style>
  <w:style w:type="paragraph" w:customStyle="1" w:styleId="47">
    <w:name w:val="TOC Heading"/>
    <w:basedOn w:val="1"/>
    <w:next w:val="0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</TotalTime>
  <Application>Honor_Office</Application>
  <Pages>2</Pages>
  <Words>547</Words>
  <Characters>3353</Characters>
  <Lines>67</Lines>
  <Paragraphs>28</Paragraphs>
  <CharactersWithSpaces>3875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python-docx</dc:creator>
  <dc:description>generated by python-docx</dc:description>
  <cp:lastModifiedBy>HONOR Docs</cp:lastModifiedBy>
  <cp:revision>1</cp:revision>
  <dcterms:created xsi:type="dcterms:W3CDTF">2013-12-23T23:15:00Z</dcterms:created>
  <dcterms:modified xsi:type="dcterms:W3CDTF">2026-06-27T11:40:16Z</dcterms:modified>
</cp:coreProperties>
</file>